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CA5C" w14:textId="7DD14ECB" w:rsidR="00025528" w:rsidRPr="00465E62" w:rsidRDefault="006F2459" w:rsidP="00025528">
      <w:pPr>
        <w:tabs>
          <w:tab w:val="left" w:pos="8080"/>
        </w:tabs>
        <w:spacing w:after="0" w:line="240" w:lineRule="auto"/>
        <w:jc w:val="center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A</w:t>
      </w:r>
      <w:r w:rsidR="00E339E9" w:rsidRPr="00465E62">
        <w:rPr>
          <w:rFonts w:ascii="Arial" w:eastAsia="Times New Roman" w:hAnsi="Arial" w:cs="Arial"/>
          <w:lang w:val="es-ES_tradnl" w:eastAsia="es-ES"/>
        </w:rPr>
        <w:t>NEXO XI</w:t>
      </w:r>
    </w:p>
    <w:p w14:paraId="7A4B3549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center"/>
        <w:rPr>
          <w:rFonts w:ascii="Arial" w:eastAsia="Times New Roman" w:hAnsi="Arial" w:cs="Arial"/>
          <w:lang w:val="es-ES_tradnl" w:eastAsia="es-ES"/>
        </w:rPr>
      </w:pPr>
    </w:p>
    <w:p w14:paraId="32483A1D" w14:textId="7078C5F4" w:rsidR="00025528" w:rsidRPr="00465E62" w:rsidRDefault="00025528" w:rsidP="00E33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80"/>
        </w:tabs>
        <w:spacing w:after="0" w:line="240" w:lineRule="auto"/>
        <w:jc w:val="center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N</w:t>
      </w:r>
      <w:r w:rsidR="00E339E9" w:rsidRPr="00465E62">
        <w:rPr>
          <w:rFonts w:ascii="Arial" w:eastAsia="Times New Roman" w:hAnsi="Arial" w:cs="Arial"/>
          <w:lang w:val="es-ES_tradnl" w:eastAsia="es-ES"/>
        </w:rPr>
        <w:t>ORMAS MÍNIMAS PARA LOS PROCEDIMIENTOS DE GRABACIÓN EN VIDEO APLICABLES A LAS OPERACIONES DE TRANSFERENCIA, INTRODUCCIÓN EN JAULAS Y/O LIBERACIÓN</w:t>
      </w:r>
    </w:p>
    <w:p w14:paraId="17EA4979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3F933CD0" w14:textId="024FEDE3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1. </w:t>
      </w:r>
      <w:r w:rsidR="00F302E0" w:rsidRPr="00465E62">
        <w:rPr>
          <w:rFonts w:ascii="Arial" w:eastAsia="Times New Roman" w:hAnsi="Arial" w:cs="Arial"/>
          <w:lang w:val="es-ES_tradnl" w:eastAsia="es-ES"/>
        </w:rPr>
        <w:t>El</w:t>
      </w:r>
      <w:r w:rsidRPr="00465E62">
        <w:rPr>
          <w:rFonts w:ascii="Arial" w:eastAsia="Times New Roman" w:hAnsi="Arial" w:cs="Arial"/>
          <w:lang w:val="es-ES_tradnl" w:eastAsia="es-ES"/>
        </w:rPr>
        <w:t xml:space="preserve"> Estado </w:t>
      </w:r>
      <w:r w:rsidR="00B53BF4">
        <w:rPr>
          <w:rFonts w:ascii="Arial" w:eastAsia="Times New Roman" w:hAnsi="Arial" w:cs="Arial"/>
          <w:lang w:val="es-ES_tradnl" w:eastAsia="es-ES"/>
        </w:rPr>
        <w:t>m</w:t>
      </w:r>
      <w:r w:rsidRPr="00465E62">
        <w:rPr>
          <w:rFonts w:ascii="Arial" w:eastAsia="Times New Roman" w:hAnsi="Arial" w:cs="Arial"/>
          <w:lang w:val="es-ES_tradnl" w:eastAsia="es-ES"/>
        </w:rPr>
        <w:t xml:space="preserve">iembro de pabellón, de la almadraba y de la granja afectada se asegurará de que los siguientes procedimientos se aplican a todas las grabaciones de vídeo de las operaciones de transferencia, </w:t>
      </w:r>
      <w:proofErr w:type="spellStart"/>
      <w:r w:rsidR="00F302E0" w:rsidRPr="00465E62">
        <w:rPr>
          <w:rFonts w:ascii="Arial" w:eastAsia="Times New Roman" w:hAnsi="Arial" w:cs="Arial"/>
          <w:lang w:val="es-ES_tradnl" w:eastAsia="es-ES"/>
        </w:rPr>
        <w:t>enjaulamiento</w:t>
      </w:r>
      <w:proofErr w:type="spellEnd"/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y/o </w:t>
      </w:r>
      <w:r w:rsidRPr="00465E62">
        <w:rPr>
          <w:rFonts w:ascii="Arial" w:eastAsia="Times New Roman" w:hAnsi="Arial" w:cs="Arial"/>
          <w:lang w:val="es-ES_tradnl" w:eastAsia="es-ES"/>
        </w:rPr>
        <w:t>liberación:</w:t>
      </w:r>
    </w:p>
    <w:p w14:paraId="66D1F62A" w14:textId="085C057F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al comienzo y/o final de cada vídeo, según se requiera, deberá aparecer el número de </w:t>
      </w:r>
      <w:r w:rsidR="00885156" w:rsidRPr="00465E62">
        <w:rPr>
          <w:rFonts w:ascii="Arial" w:eastAsia="Times New Roman" w:hAnsi="Arial" w:cs="Arial"/>
          <w:lang w:val="es-ES_tradnl" w:eastAsia="es-ES"/>
        </w:rPr>
        <w:t>a</w:t>
      </w:r>
      <w:r w:rsidRPr="00465E62">
        <w:rPr>
          <w:rFonts w:ascii="Arial" w:eastAsia="Times New Roman" w:hAnsi="Arial" w:cs="Arial"/>
          <w:lang w:val="es-ES_tradnl" w:eastAsia="es-ES"/>
        </w:rPr>
        <w:t>utorización de transferencia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F302E0" w:rsidRPr="00465E62">
        <w:rPr>
          <w:rFonts w:ascii="Arial" w:eastAsia="Times New Roman" w:hAnsi="Arial" w:cs="Arial"/>
          <w:lang w:val="es-ES_tradnl" w:eastAsia="es-ES"/>
        </w:rPr>
        <w:t>enjaulamiento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885156" w:rsidRPr="00465E62">
        <w:rPr>
          <w:rFonts w:ascii="Arial" w:eastAsia="Times New Roman" w:hAnsi="Arial" w:cs="Arial"/>
          <w:lang w:val="es-ES_tradnl" w:eastAsia="es-ES"/>
        </w:rPr>
        <w:t>y/</w:t>
      </w:r>
      <w:r w:rsidRPr="00465E62">
        <w:rPr>
          <w:rFonts w:ascii="Arial" w:eastAsia="Times New Roman" w:hAnsi="Arial" w:cs="Arial"/>
          <w:lang w:val="es-ES_tradnl" w:eastAsia="es-ES"/>
        </w:rPr>
        <w:t xml:space="preserve">o de orden de liberación; </w:t>
      </w:r>
    </w:p>
    <w:p w14:paraId="10A4C020" w14:textId="685422C7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la hora y la fecha del vídeo se mostrarán continuamente a lo largo de cada grabación de vídeo; </w:t>
      </w:r>
    </w:p>
    <w:p w14:paraId="001DCF0E" w14:textId="17DFAD70" w:rsidR="00025528" w:rsidRPr="00866B91" w:rsidRDefault="00025528" w:rsidP="00F302E0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la grabación de vídeo será continua, sin ninguna interrupción o corte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y debe cubrir toda la operación de transferencia, </w:t>
      </w:r>
      <w:proofErr w:type="spellStart"/>
      <w:r w:rsidR="00F302E0" w:rsidRPr="00465E62">
        <w:rPr>
          <w:rFonts w:ascii="Arial" w:eastAsia="Times New Roman" w:hAnsi="Arial" w:cs="Arial"/>
          <w:lang w:val="es-ES_tradnl" w:eastAsia="es-ES"/>
        </w:rPr>
        <w:t>enjaulamiento</w:t>
      </w:r>
      <w:proofErr w:type="spellEnd"/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885156" w:rsidRPr="00465E62">
        <w:rPr>
          <w:rFonts w:ascii="Arial" w:eastAsia="Times New Roman" w:hAnsi="Arial" w:cs="Arial"/>
          <w:lang w:val="es-ES_tradnl" w:eastAsia="es-ES"/>
        </w:rPr>
        <w:t>y/</w:t>
      </w:r>
      <w:r w:rsidR="00866B91">
        <w:rPr>
          <w:rFonts w:ascii="Arial" w:eastAsia="Times New Roman" w:hAnsi="Arial" w:cs="Arial"/>
          <w:lang w:val="es-ES_tradnl" w:eastAsia="es-ES"/>
        </w:rPr>
        <w:t>o de liberación.</w:t>
      </w:r>
    </w:p>
    <w:p w14:paraId="2D441AA2" w14:textId="68B9D184" w:rsidR="00F302E0" w:rsidRPr="00866B91" w:rsidRDefault="00F302E0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antes del inicio de la operación de transferencia, introducción en jaula y/o liberación, la grabación de vídeo deberá incluir la apertura y el cierre de la red/puerta, y para las operaciones de transferencia y de introducción en jaulas mostrar si la(s) jaula(s) donante(s) y receptora(s) contienen ya atún rojo;</w:t>
      </w:r>
    </w:p>
    <w:p w14:paraId="2ED4AF24" w14:textId="79CB6E8A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la grabación de vídeo será de calidad suficiente para determinar el número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 de ejemplares de atún rojo,</w:t>
      </w:r>
      <w:r w:rsidRPr="00465E62">
        <w:rPr>
          <w:rFonts w:ascii="Arial" w:eastAsia="Times New Roman" w:hAnsi="Arial" w:cs="Arial"/>
          <w:lang w:val="es-ES_tradnl" w:eastAsia="es-ES"/>
        </w:rPr>
        <w:t xml:space="preserve"> y cuando proceda, el peso del atún rojo que se transfiere, se introduce en jaulas y/o se libera;</w:t>
      </w:r>
    </w:p>
    <w:p w14:paraId="0093FD4A" w14:textId="35B18574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la grabación de vídeo original se conservará a bordo del buque donante o la guardará el operador de la granja o la almadraba, lo que proceda, durante todo el período de autorización para operar; </w:t>
      </w:r>
    </w:p>
    <w:p w14:paraId="73BB61D5" w14:textId="3988BC1D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la distribución de 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las </w:t>
      </w:r>
      <w:r w:rsidRPr="00465E62">
        <w:rPr>
          <w:rFonts w:ascii="Arial" w:eastAsia="Times New Roman" w:hAnsi="Arial" w:cs="Arial"/>
          <w:lang w:val="es-ES_tradnl" w:eastAsia="es-ES"/>
        </w:rPr>
        <w:t>copias de las grabaciones de vídeo se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 hará conforme a lo estipulado en</w:t>
      </w:r>
      <w:r w:rsidRPr="00465E62">
        <w:rPr>
          <w:rFonts w:ascii="Arial" w:eastAsia="Times New Roman" w:hAnsi="Arial" w:cs="Arial"/>
          <w:lang w:val="es-ES_tradnl" w:eastAsia="es-ES"/>
        </w:rPr>
        <w:t xml:space="preserve"> los párrafos 120 a 123 de </w:t>
      </w:r>
      <w:r w:rsidR="00885156" w:rsidRPr="00465E62">
        <w:rPr>
          <w:rFonts w:ascii="Arial" w:eastAsia="Times New Roman" w:hAnsi="Arial" w:cs="Arial"/>
          <w:lang w:val="es-ES_tradnl" w:eastAsia="es-ES"/>
        </w:rPr>
        <w:t>la</w:t>
      </w:r>
      <w:r w:rsidRPr="00465E62">
        <w:rPr>
          <w:rFonts w:ascii="Arial" w:eastAsia="Times New Roman" w:hAnsi="Arial" w:cs="Arial"/>
          <w:lang w:val="es-ES_tradnl" w:eastAsia="es-ES"/>
        </w:rPr>
        <w:t xml:space="preserve"> Recomendación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 2</w:t>
      </w:r>
      <w:r w:rsidR="00B53BF4">
        <w:rPr>
          <w:rFonts w:ascii="Arial" w:eastAsia="Times New Roman" w:hAnsi="Arial" w:cs="Arial"/>
          <w:lang w:val="es-ES_tradnl" w:eastAsia="es-ES"/>
        </w:rPr>
        <w:t>2</w:t>
      </w:r>
      <w:r w:rsidR="00885156" w:rsidRPr="00465E62">
        <w:rPr>
          <w:rFonts w:ascii="Arial" w:eastAsia="Times New Roman" w:hAnsi="Arial" w:cs="Arial"/>
          <w:lang w:val="es-ES_tradnl" w:eastAsia="es-ES"/>
        </w:rPr>
        <w:t>-08</w:t>
      </w:r>
      <w:r w:rsidRPr="00465E62">
        <w:rPr>
          <w:rFonts w:ascii="Arial" w:eastAsia="Times New Roman" w:hAnsi="Arial" w:cs="Arial"/>
          <w:lang w:val="es-ES_tradnl" w:eastAsia="es-ES"/>
        </w:rPr>
        <w:t xml:space="preserve">. </w:t>
      </w:r>
    </w:p>
    <w:p w14:paraId="76A52B5A" w14:textId="77777777" w:rsidR="00025528" w:rsidRPr="00465E62" w:rsidRDefault="00025528" w:rsidP="00F302E0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el dispositivo de almacenamiento electrónico que contiene la grabación de vídeo original se proporcionará inmediatamente al observador r</w:t>
      </w:r>
      <w:r w:rsidR="00885156" w:rsidRPr="00465E62">
        <w:rPr>
          <w:rFonts w:ascii="Arial" w:eastAsia="Times New Roman" w:hAnsi="Arial" w:cs="Arial"/>
          <w:lang w:val="es-ES_tradnl" w:eastAsia="es-ES"/>
        </w:rPr>
        <w:t>egional de ICCAT y/o nacional (a bordo del remolcador o almadraba)</w:t>
      </w:r>
      <w:r w:rsidRPr="00465E62">
        <w:rPr>
          <w:rFonts w:ascii="Arial" w:eastAsia="Times New Roman" w:hAnsi="Arial" w:cs="Arial"/>
          <w:lang w:val="es-ES_tradnl" w:eastAsia="es-ES"/>
        </w:rPr>
        <w:t xml:space="preserve">  tras el final de la operación de transferencia, de introducción en jaula y/o de liberación. El observador regional de ICCAT y/o el observador 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nacional </w:t>
      </w:r>
      <w:r w:rsidRPr="00465E62">
        <w:rPr>
          <w:rFonts w:ascii="Arial" w:eastAsia="Times New Roman" w:hAnsi="Arial" w:cs="Arial"/>
          <w:lang w:val="es-ES_tradnl" w:eastAsia="es-ES"/>
        </w:rPr>
        <w:t>lo inicializará inmediatamente para evitar cualquier manipulación.</w:t>
      </w:r>
    </w:p>
    <w:p w14:paraId="397D0904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0CCFB8E5" w14:textId="77777777" w:rsidR="00885156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 2. </w:t>
      </w:r>
      <w:r w:rsidR="00885156" w:rsidRPr="00465E62">
        <w:rPr>
          <w:rFonts w:ascii="Arial" w:eastAsia="Times New Roman" w:hAnsi="Arial" w:cs="Arial"/>
          <w:lang w:val="es-ES_tradnl" w:eastAsia="es-ES"/>
        </w:rPr>
        <w:t>Los Estados Miembros de pabellón</w:t>
      </w:r>
      <w:r w:rsidRPr="00465E62">
        <w:rPr>
          <w:rFonts w:ascii="Arial" w:eastAsia="Times New Roman" w:hAnsi="Arial" w:cs="Arial"/>
          <w:lang w:val="es-ES_tradnl" w:eastAsia="es-ES"/>
        </w:rPr>
        <w:t xml:space="preserve"> de la almadraba y de la granja afectada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establecerá las medidas necesarias para evitar cualquier sustitución, edición o manipulación de las grabaciones de vídeo originales. </w:t>
      </w:r>
    </w:p>
    <w:p w14:paraId="17F4E5E3" w14:textId="77777777" w:rsidR="00885156" w:rsidRPr="00465E62" w:rsidRDefault="00885156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2923EDE3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Calidad insuficiente de la grabación de vídeo </w:t>
      </w:r>
    </w:p>
    <w:p w14:paraId="6269EEAF" w14:textId="77777777" w:rsidR="00885156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3. Si la calidad de la grabación de vídeo es insuficiente para determinar el número y, cuando proceda, el peso del atún rojo transferido, enjaulado y/o liberado, se repetirá la operación hasta que la calidad del vídeo sea adecuada, siguiendo los procedimientos que se indican a continuación: </w:t>
      </w:r>
    </w:p>
    <w:p w14:paraId="14F6ABE2" w14:textId="77777777" w:rsidR="00885156" w:rsidRPr="00465E62" w:rsidRDefault="00885156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562CBDB0" w14:textId="55BBE940" w:rsidR="001D1864" w:rsidRPr="00465E62" w:rsidRDefault="00025528" w:rsidP="00885156">
      <w:pPr>
        <w:pStyle w:val="Prrafodelista"/>
        <w:numPr>
          <w:ilvl w:val="0"/>
          <w:numId w:val="2"/>
        </w:numPr>
        <w:tabs>
          <w:tab w:val="left" w:pos="8080"/>
        </w:tabs>
        <w:spacing w:after="0" w:line="240" w:lineRule="auto"/>
        <w:ind w:left="426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para una transferencia, </w:t>
      </w:r>
      <w:r w:rsidR="00BF0FEF" w:rsidRPr="00465E62">
        <w:rPr>
          <w:rFonts w:ascii="Arial" w:eastAsia="Times New Roman" w:hAnsi="Arial" w:cs="Arial"/>
          <w:lang w:val="es-ES_tradnl" w:eastAsia="es-ES"/>
        </w:rPr>
        <w:t xml:space="preserve">dicha transferencia </w:t>
      </w:r>
      <w:r w:rsidRPr="00465E62">
        <w:rPr>
          <w:rFonts w:ascii="Arial" w:eastAsia="Times New Roman" w:hAnsi="Arial" w:cs="Arial"/>
          <w:lang w:val="es-ES_tradnl" w:eastAsia="es-ES"/>
        </w:rPr>
        <w:t xml:space="preserve">se repetirá de conformidad con 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lo establecido </w:t>
      </w:r>
      <w:r w:rsidRPr="00465E62">
        <w:rPr>
          <w:rFonts w:ascii="Arial" w:eastAsia="Times New Roman" w:hAnsi="Arial" w:cs="Arial"/>
          <w:lang w:val="es-ES_tradnl" w:eastAsia="es-ES"/>
        </w:rPr>
        <w:t xml:space="preserve">en los párrafos 124 a 129 de 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la </w:t>
      </w:r>
      <w:r w:rsidRPr="00465E62">
        <w:rPr>
          <w:rFonts w:ascii="Arial" w:eastAsia="Times New Roman" w:hAnsi="Arial" w:cs="Arial"/>
          <w:lang w:val="es-ES_tradnl" w:eastAsia="es-ES"/>
        </w:rPr>
        <w:t>Recomendación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 2</w:t>
      </w:r>
      <w:r w:rsidR="00B53BF4">
        <w:rPr>
          <w:rFonts w:ascii="Arial" w:eastAsia="Times New Roman" w:hAnsi="Arial" w:cs="Arial"/>
          <w:lang w:val="es-ES_tradnl" w:eastAsia="es-ES"/>
        </w:rPr>
        <w:t>2</w:t>
      </w:r>
      <w:r w:rsidR="00620FF5" w:rsidRPr="00465E62">
        <w:rPr>
          <w:rFonts w:ascii="Arial" w:eastAsia="Times New Roman" w:hAnsi="Arial" w:cs="Arial"/>
          <w:lang w:val="es-ES_tradnl" w:eastAsia="es-ES"/>
        </w:rPr>
        <w:t>-08</w:t>
      </w:r>
      <w:r w:rsidRPr="00465E62">
        <w:rPr>
          <w:rFonts w:ascii="Arial" w:eastAsia="Times New Roman" w:hAnsi="Arial" w:cs="Arial"/>
          <w:lang w:val="es-ES_tradnl" w:eastAsia="es-ES"/>
        </w:rPr>
        <w:t xml:space="preserve"> (transferencias voluntarias y de control). Esta</w:t>
      </w:r>
      <w:r w:rsidR="00620FF5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 transferencia</w:t>
      </w:r>
      <w:r w:rsidR="00620FF5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 voluntaria</w:t>
      </w:r>
      <w:r w:rsidR="00620FF5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 o de control</w:t>
      </w:r>
      <w:r w:rsidR="00620FF5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se llevará</w:t>
      </w:r>
      <w:r w:rsidR="00620FF5" w:rsidRPr="00465E62">
        <w:rPr>
          <w:rFonts w:ascii="Arial" w:eastAsia="Times New Roman" w:hAnsi="Arial" w:cs="Arial"/>
          <w:lang w:val="es-ES_tradnl" w:eastAsia="es-ES"/>
        </w:rPr>
        <w:t>n</w:t>
      </w:r>
      <w:r w:rsidRPr="00465E62">
        <w:rPr>
          <w:rFonts w:ascii="Arial" w:eastAsia="Times New Roman" w:hAnsi="Arial" w:cs="Arial"/>
          <w:lang w:val="es-ES_tradnl" w:eastAsia="es-ES"/>
        </w:rPr>
        <w:t xml:space="preserve"> a cabo en otra jaula que deberá estar vacía. </w:t>
      </w:r>
    </w:p>
    <w:p w14:paraId="01D6D7F2" w14:textId="6B73F2E9" w:rsidR="001D1864" w:rsidRPr="00465E62" w:rsidRDefault="00025528" w:rsidP="00866B91">
      <w:pPr>
        <w:pStyle w:val="Prrafodelista"/>
        <w:tabs>
          <w:tab w:val="left" w:pos="8080"/>
        </w:tabs>
        <w:spacing w:after="0" w:line="240" w:lineRule="auto"/>
        <w:ind w:left="426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Para aquellas transferencias en que el origen de los peces sea una almadraba, el atún rojo ya transferido desde la almadraba a la jaula receptora puede ser devuelto a la almadraba y la transferencia voluntaria cancelada bajo la supervisión del </w:t>
      </w:r>
      <w:r w:rsidR="00885156" w:rsidRPr="00465E62">
        <w:rPr>
          <w:rFonts w:ascii="Arial" w:eastAsia="Times New Roman" w:hAnsi="Arial" w:cs="Arial"/>
          <w:lang w:val="es-ES_tradnl" w:eastAsia="es-ES"/>
        </w:rPr>
        <w:t>observador regional de ICCAT</w:t>
      </w:r>
    </w:p>
    <w:p w14:paraId="2A2721FA" w14:textId="323FC16E" w:rsidR="00620FF5" w:rsidRPr="00465E62" w:rsidRDefault="00025528" w:rsidP="00620FF5">
      <w:pPr>
        <w:pStyle w:val="Prrafodelista"/>
        <w:numPr>
          <w:ilvl w:val="0"/>
          <w:numId w:val="2"/>
        </w:numPr>
        <w:tabs>
          <w:tab w:val="left" w:pos="8080"/>
        </w:tabs>
        <w:spacing w:after="0" w:line="240" w:lineRule="auto"/>
        <w:ind w:left="426" w:hanging="284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para </w:t>
      </w:r>
      <w:r w:rsidR="00620FF5" w:rsidRPr="00465E62">
        <w:rPr>
          <w:rFonts w:ascii="Arial" w:eastAsia="Times New Roman" w:hAnsi="Arial" w:cs="Arial"/>
          <w:lang w:val="es-ES_tradnl" w:eastAsia="es-ES"/>
        </w:rPr>
        <w:t>los enjaulamiento</w:t>
      </w:r>
      <w:r w:rsidR="00BF0FEF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, </w:t>
      </w:r>
      <w:r w:rsidR="00BF0FEF" w:rsidRPr="00465E62">
        <w:rPr>
          <w:rFonts w:ascii="Arial" w:eastAsia="Times New Roman" w:hAnsi="Arial" w:cs="Arial"/>
          <w:lang w:val="es-ES_tradnl" w:eastAsia="es-ES"/>
        </w:rPr>
        <w:t xml:space="preserve">dicho enjaulamiento </w:t>
      </w:r>
      <w:r w:rsidRPr="00465E62">
        <w:rPr>
          <w:rFonts w:ascii="Arial" w:eastAsia="Times New Roman" w:hAnsi="Arial" w:cs="Arial"/>
          <w:lang w:val="es-ES_tradnl" w:eastAsia="es-ES"/>
        </w:rPr>
        <w:t>se repetirá de conformidad con l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o </w:t>
      </w:r>
      <w:r w:rsidR="00BF0FEF" w:rsidRPr="00465E62">
        <w:rPr>
          <w:rFonts w:ascii="Arial" w:eastAsia="Times New Roman" w:hAnsi="Arial" w:cs="Arial"/>
          <w:lang w:val="es-ES_tradnl" w:eastAsia="es-ES"/>
        </w:rPr>
        <w:t>establecido</w:t>
      </w:r>
      <w:r w:rsidRPr="00465E62">
        <w:rPr>
          <w:rFonts w:ascii="Arial" w:eastAsia="Times New Roman" w:hAnsi="Arial" w:cs="Arial"/>
          <w:lang w:val="es-ES_tradnl" w:eastAsia="es-ES"/>
        </w:rPr>
        <w:t xml:space="preserve"> en los párrafos 163 a 164 de la Recomendación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 2</w:t>
      </w:r>
      <w:r w:rsidR="00B53BF4">
        <w:rPr>
          <w:rFonts w:ascii="Arial" w:eastAsia="Times New Roman" w:hAnsi="Arial" w:cs="Arial"/>
          <w:lang w:val="es-ES_tradnl" w:eastAsia="es-ES"/>
        </w:rPr>
        <w:t>2</w:t>
      </w:r>
      <w:r w:rsidR="00620FF5" w:rsidRPr="00465E62">
        <w:rPr>
          <w:rFonts w:ascii="Arial" w:eastAsia="Times New Roman" w:hAnsi="Arial" w:cs="Arial"/>
          <w:lang w:val="es-ES_tradnl" w:eastAsia="es-ES"/>
        </w:rPr>
        <w:t>-08</w:t>
      </w:r>
      <w:r w:rsidRPr="00465E62">
        <w:rPr>
          <w:rFonts w:ascii="Arial" w:eastAsia="Times New Roman" w:hAnsi="Arial" w:cs="Arial"/>
          <w:lang w:val="es-ES_tradnl" w:eastAsia="es-ES"/>
        </w:rPr>
        <w:t>.</w:t>
      </w:r>
    </w:p>
    <w:p w14:paraId="0CE7F1A7" w14:textId="347FC6F1" w:rsidR="00620FF5" w:rsidRPr="00866B91" w:rsidRDefault="00BF0FEF" w:rsidP="00866B91">
      <w:pPr>
        <w:pStyle w:val="Prrafodelista"/>
        <w:tabs>
          <w:tab w:val="left" w:pos="8080"/>
        </w:tabs>
        <w:spacing w:after="0" w:line="240" w:lineRule="auto"/>
        <w:ind w:left="426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lastRenderedPageBreak/>
        <w:t>El nuevo enjaulamiento</w:t>
      </w:r>
      <w:r w:rsidR="00025528" w:rsidRPr="00465E62">
        <w:rPr>
          <w:rFonts w:ascii="Arial" w:eastAsia="Times New Roman" w:hAnsi="Arial" w:cs="Arial"/>
          <w:lang w:val="es-ES_tradnl" w:eastAsia="es-ES"/>
        </w:rPr>
        <w:t xml:space="preserve"> incluirá el desplazamiento de todo el atún rojo desde la jaula receptora de la granja</w:t>
      </w:r>
      <w:r w:rsidRPr="00465E62">
        <w:rPr>
          <w:rFonts w:ascii="Arial" w:eastAsia="Times New Roman" w:hAnsi="Arial" w:cs="Arial"/>
          <w:lang w:val="es-ES_tradnl" w:eastAsia="es-ES"/>
        </w:rPr>
        <w:t>,</w:t>
      </w:r>
      <w:r w:rsidR="00025528" w:rsidRPr="00465E62">
        <w:rPr>
          <w:rFonts w:ascii="Arial" w:eastAsia="Times New Roman" w:hAnsi="Arial" w:cs="Arial"/>
          <w:lang w:val="es-ES_tradnl" w:eastAsia="es-ES"/>
        </w:rPr>
        <w:t xml:space="preserve"> hacia otra jaula de la granja que debe estar vacía.</w:t>
      </w:r>
    </w:p>
    <w:p w14:paraId="392E5A07" w14:textId="2AD09128" w:rsidR="00051D0A" w:rsidRPr="00465E62" w:rsidRDefault="00025528" w:rsidP="00620FF5">
      <w:pPr>
        <w:pStyle w:val="Prrafodelista"/>
        <w:tabs>
          <w:tab w:val="left" w:pos="8080"/>
        </w:tabs>
        <w:spacing w:after="0" w:line="240" w:lineRule="auto"/>
        <w:ind w:left="426" w:hanging="284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c</w:t>
      </w:r>
      <w:r w:rsidRPr="00C11BD3">
        <w:rPr>
          <w:rFonts w:ascii="Arial" w:eastAsia="Times New Roman" w:hAnsi="Arial" w:cs="Arial"/>
          <w:lang w:val="es-ES_tradnl" w:eastAsia="es-ES"/>
        </w:rPr>
        <w:t xml:space="preserve">) Para las liberaciones, se repetirá la segregación de los peces que se van a liberar de conformidad con el Protocolo de liberación establecido en el Anexo </w:t>
      </w:r>
      <w:r w:rsidR="00663CF1" w:rsidRPr="00C11BD3">
        <w:rPr>
          <w:rFonts w:ascii="Arial" w:eastAsia="Times New Roman" w:hAnsi="Arial" w:cs="Arial"/>
          <w:lang w:val="es-ES_tradnl" w:eastAsia="es-ES"/>
        </w:rPr>
        <w:t>XIII</w:t>
      </w:r>
      <w:r w:rsidRPr="00C11BD3">
        <w:rPr>
          <w:rFonts w:ascii="Arial" w:eastAsia="Times New Roman" w:hAnsi="Arial" w:cs="Arial"/>
          <w:lang w:val="es-ES_tradnl" w:eastAsia="es-ES"/>
        </w:rPr>
        <w:t xml:space="preserve"> de la presente R</w:t>
      </w:r>
      <w:r w:rsidR="00620FF5" w:rsidRPr="00C11BD3">
        <w:rPr>
          <w:rFonts w:ascii="Arial" w:eastAsia="Times New Roman" w:hAnsi="Arial" w:cs="Arial"/>
          <w:lang w:val="es-ES_tradnl" w:eastAsia="es-ES"/>
        </w:rPr>
        <w:t>esolución</w:t>
      </w:r>
      <w:r w:rsidRPr="00C11BD3">
        <w:rPr>
          <w:rFonts w:ascii="Arial" w:eastAsia="Times New Roman" w:hAnsi="Arial" w:cs="Arial"/>
          <w:lang w:val="es-ES_tradnl" w:eastAsia="es-ES"/>
        </w:rPr>
        <w:t>.</w:t>
      </w:r>
    </w:p>
    <w:sectPr w:rsidR="00051D0A" w:rsidRPr="00465E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8FBF1" w14:textId="77777777" w:rsidR="00825195" w:rsidRDefault="00825195" w:rsidP="00B53BF4">
      <w:pPr>
        <w:spacing w:after="0" w:line="240" w:lineRule="auto"/>
      </w:pPr>
      <w:r>
        <w:separator/>
      </w:r>
    </w:p>
  </w:endnote>
  <w:endnote w:type="continuationSeparator" w:id="0">
    <w:p w14:paraId="31FF0EF5" w14:textId="77777777" w:rsidR="00825195" w:rsidRDefault="00825195" w:rsidP="00B53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5EC3A" w14:textId="77777777" w:rsidR="00825195" w:rsidRDefault="00825195" w:rsidP="00B53BF4">
      <w:pPr>
        <w:spacing w:after="0" w:line="240" w:lineRule="auto"/>
      </w:pPr>
      <w:r>
        <w:separator/>
      </w:r>
    </w:p>
  </w:footnote>
  <w:footnote w:type="continuationSeparator" w:id="0">
    <w:p w14:paraId="237519A7" w14:textId="77777777" w:rsidR="00825195" w:rsidRDefault="00825195" w:rsidP="00B53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82A95"/>
    <w:multiLevelType w:val="hybridMultilevel"/>
    <w:tmpl w:val="74C4FD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E55C3"/>
    <w:multiLevelType w:val="hybridMultilevel"/>
    <w:tmpl w:val="354CFDC0"/>
    <w:lvl w:ilvl="0" w:tplc="1228E8C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80236149">
    <w:abstractNumId w:val="1"/>
  </w:num>
  <w:num w:numId="2" w16cid:durableId="1956714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DC8"/>
    <w:rsid w:val="00025528"/>
    <w:rsid w:val="00051D0A"/>
    <w:rsid w:val="001C2812"/>
    <w:rsid w:val="001D1864"/>
    <w:rsid w:val="00260A0B"/>
    <w:rsid w:val="002D1DC8"/>
    <w:rsid w:val="003E2711"/>
    <w:rsid w:val="00465E62"/>
    <w:rsid w:val="00620FF5"/>
    <w:rsid w:val="00663CF1"/>
    <w:rsid w:val="006F2459"/>
    <w:rsid w:val="00825195"/>
    <w:rsid w:val="00866B91"/>
    <w:rsid w:val="00885156"/>
    <w:rsid w:val="00B53BF4"/>
    <w:rsid w:val="00BF0FEF"/>
    <w:rsid w:val="00C11BD3"/>
    <w:rsid w:val="00E339E9"/>
    <w:rsid w:val="00F3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5BC4"/>
  <w15:chartTrackingRefBased/>
  <w15:docId w15:val="{08D85146-8FD5-446F-9E62-0E5E5329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2552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20FF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20FF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20FF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20FF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20FF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0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0FF5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53BF4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53B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3BF4"/>
  </w:style>
  <w:style w:type="paragraph" w:styleId="Piedepgina">
    <w:name w:val="footer"/>
    <w:basedOn w:val="Normal"/>
    <w:link w:val="PiedepginaCar"/>
    <w:uiPriority w:val="99"/>
    <w:unhideWhenUsed/>
    <w:rsid w:val="00B53B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3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567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Fernández Despiau, Estrella</dc:creator>
  <cp:keywords/>
  <dc:description/>
  <cp:lastModifiedBy>Herrador Benito, Ruth</cp:lastModifiedBy>
  <cp:revision>15</cp:revision>
  <dcterms:created xsi:type="dcterms:W3CDTF">2022-03-23T15:04:00Z</dcterms:created>
  <dcterms:modified xsi:type="dcterms:W3CDTF">2024-03-08T12:43:00Z</dcterms:modified>
</cp:coreProperties>
</file>